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D2D" w:rsidRPr="002C7D2D" w:rsidRDefault="002C7D2D" w:rsidP="002C7D2D">
      <w:pPr>
        <w:spacing w:line="480" w:lineRule="auto"/>
        <w:rPr>
          <w:rFonts w:ascii="Times New Roman" w:hAnsi="Times New Roman" w:cs="Times New Roman"/>
          <w:sz w:val="24"/>
          <w:szCs w:val="24"/>
        </w:rPr>
      </w:pPr>
    </w:p>
    <w:p w:rsidR="002C7D2D" w:rsidRPr="002C7D2D" w:rsidRDefault="002C7D2D" w:rsidP="002C7D2D">
      <w:pPr>
        <w:spacing w:line="480" w:lineRule="auto"/>
        <w:rPr>
          <w:rFonts w:ascii="Times New Roman" w:hAnsi="Times New Roman" w:cs="Times New Roman"/>
          <w:sz w:val="24"/>
          <w:szCs w:val="24"/>
        </w:rPr>
      </w:pPr>
    </w:p>
    <w:p w:rsidR="002C7D2D" w:rsidRPr="002C7D2D" w:rsidRDefault="002C7D2D" w:rsidP="002C7D2D">
      <w:pPr>
        <w:spacing w:line="480" w:lineRule="auto"/>
        <w:rPr>
          <w:rFonts w:ascii="Times New Roman" w:hAnsi="Times New Roman" w:cs="Times New Roman"/>
          <w:sz w:val="24"/>
          <w:szCs w:val="24"/>
        </w:rPr>
      </w:pPr>
    </w:p>
    <w:p w:rsidR="002C7D2D" w:rsidRPr="002C7D2D" w:rsidRDefault="002C7D2D" w:rsidP="002C7D2D">
      <w:pPr>
        <w:spacing w:line="480" w:lineRule="auto"/>
        <w:rPr>
          <w:rFonts w:ascii="Times New Roman" w:hAnsi="Times New Roman" w:cs="Times New Roman"/>
          <w:sz w:val="24"/>
          <w:szCs w:val="24"/>
        </w:rPr>
      </w:pPr>
    </w:p>
    <w:p w:rsidR="002C7D2D" w:rsidRPr="002C7D2D" w:rsidRDefault="002C7D2D" w:rsidP="002C7D2D">
      <w:pPr>
        <w:spacing w:line="480" w:lineRule="auto"/>
        <w:rPr>
          <w:rFonts w:ascii="Times New Roman" w:hAnsi="Times New Roman" w:cs="Times New Roman"/>
          <w:sz w:val="24"/>
          <w:szCs w:val="24"/>
        </w:rPr>
      </w:pPr>
    </w:p>
    <w:p w:rsidR="002C7D2D" w:rsidRPr="002C7D2D" w:rsidRDefault="002C7D2D" w:rsidP="002C7D2D">
      <w:pPr>
        <w:spacing w:line="480" w:lineRule="auto"/>
        <w:rPr>
          <w:rFonts w:ascii="Times New Roman" w:hAnsi="Times New Roman" w:cs="Times New Roman"/>
          <w:sz w:val="24"/>
          <w:szCs w:val="24"/>
        </w:rPr>
      </w:pPr>
    </w:p>
    <w:p w:rsidR="002C7D2D" w:rsidRPr="002C7D2D" w:rsidRDefault="002C7D2D" w:rsidP="002C7D2D">
      <w:pPr>
        <w:spacing w:line="480" w:lineRule="auto"/>
        <w:jc w:val="center"/>
        <w:rPr>
          <w:rFonts w:ascii="Times New Roman" w:hAnsi="Times New Roman" w:cs="Times New Roman"/>
          <w:sz w:val="24"/>
          <w:szCs w:val="24"/>
        </w:rPr>
      </w:pPr>
      <w:r w:rsidRPr="002C7D2D">
        <w:rPr>
          <w:rFonts w:ascii="Times New Roman" w:hAnsi="Times New Roman" w:cs="Times New Roman"/>
          <w:sz w:val="24"/>
          <w:szCs w:val="24"/>
        </w:rPr>
        <w:t>Professional Learning Communities</w:t>
      </w:r>
    </w:p>
    <w:p w:rsidR="002C7D2D" w:rsidRPr="002C7D2D" w:rsidRDefault="002C7D2D" w:rsidP="002C7D2D">
      <w:pPr>
        <w:spacing w:line="480" w:lineRule="auto"/>
        <w:jc w:val="center"/>
        <w:rPr>
          <w:rFonts w:ascii="Times New Roman" w:hAnsi="Times New Roman" w:cs="Times New Roman"/>
          <w:sz w:val="24"/>
          <w:szCs w:val="24"/>
        </w:rPr>
      </w:pPr>
      <w:r w:rsidRPr="002C7D2D">
        <w:rPr>
          <w:rFonts w:ascii="Times New Roman" w:hAnsi="Times New Roman" w:cs="Times New Roman"/>
          <w:sz w:val="24"/>
          <w:szCs w:val="24"/>
        </w:rPr>
        <w:t>Name of Student</w:t>
      </w:r>
    </w:p>
    <w:p w:rsidR="002C7D2D" w:rsidRPr="002C7D2D" w:rsidRDefault="002C7D2D" w:rsidP="002C7D2D">
      <w:pPr>
        <w:spacing w:line="480" w:lineRule="auto"/>
        <w:jc w:val="center"/>
        <w:rPr>
          <w:rFonts w:ascii="Times New Roman" w:hAnsi="Times New Roman" w:cs="Times New Roman"/>
          <w:sz w:val="24"/>
          <w:szCs w:val="24"/>
        </w:rPr>
      </w:pPr>
      <w:r w:rsidRPr="002C7D2D">
        <w:rPr>
          <w:rFonts w:ascii="Times New Roman" w:hAnsi="Times New Roman" w:cs="Times New Roman"/>
          <w:sz w:val="24"/>
          <w:szCs w:val="24"/>
        </w:rPr>
        <w:t>Name of Institution</w:t>
      </w:r>
    </w:p>
    <w:p w:rsidR="002C7D2D" w:rsidRPr="002C7D2D" w:rsidRDefault="002C7D2D" w:rsidP="002C7D2D">
      <w:pPr>
        <w:spacing w:line="480" w:lineRule="auto"/>
        <w:jc w:val="center"/>
        <w:rPr>
          <w:rFonts w:ascii="Times New Roman" w:hAnsi="Times New Roman" w:cs="Times New Roman"/>
          <w:sz w:val="24"/>
          <w:szCs w:val="24"/>
        </w:rPr>
      </w:pPr>
      <w:r w:rsidRPr="002C7D2D">
        <w:rPr>
          <w:rFonts w:ascii="Times New Roman" w:hAnsi="Times New Roman" w:cs="Times New Roman"/>
          <w:sz w:val="24"/>
          <w:szCs w:val="24"/>
        </w:rPr>
        <w:t>Date</w:t>
      </w:r>
      <w:r w:rsidRPr="002C7D2D">
        <w:rPr>
          <w:rFonts w:ascii="Times New Roman" w:hAnsi="Times New Roman" w:cs="Times New Roman"/>
          <w:sz w:val="24"/>
          <w:szCs w:val="24"/>
        </w:rPr>
        <w:br w:type="page"/>
      </w:r>
    </w:p>
    <w:p w:rsidR="00000000" w:rsidRPr="002C7D2D" w:rsidRDefault="00625AAC" w:rsidP="002C7D2D">
      <w:pPr>
        <w:spacing w:line="480" w:lineRule="auto"/>
        <w:ind w:firstLine="720"/>
        <w:rPr>
          <w:rFonts w:ascii="Times New Roman" w:hAnsi="Times New Roman" w:cs="Times New Roman"/>
          <w:noProof/>
          <w:sz w:val="24"/>
          <w:szCs w:val="24"/>
        </w:rPr>
      </w:pPr>
      <w:r w:rsidRPr="002C7D2D">
        <w:rPr>
          <w:rFonts w:ascii="Times New Roman" w:hAnsi="Times New Roman" w:cs="Times New Roman"/>
          <w:sz w:val="24"/>
          <w:szCs w:val="24"/>
        </w:rPr>
        <w:lastRenderedPageBreak/>
        <w:t xml:space="preserve">DuFour and Mattos dictate that the efforts of principals in micro-managing teachers are ineffectual and strategies should incorporate professional learning activities as a credible measure of what the students are learning. The article highlights the stringent reforms of oversight handed to principals and quotes crucial evidence that proves these aims ineffective. DuFour and Mattos insist that the reform utilizes faulty logic in the insistence that teacher evaluation is directly relatable to student performance and thus offers incentives for motivation of teachers to perform their best </w:t>
      </w:r>
      <w:sdt>
        <w:sdtPr>
          <w:rPr>
            <w:rFonts w:ascii="Times New Roman" w:hAnsi="Times New Roman" w:cs="Times New Roman"/>
            <w:sz w:val="24"/>
            <w:szCs w:val="24"/>
          </w:rPr>
          <w:id w:val="165756157"/>
          <w:citation/>
        </w:sdtPr>
        <w:sdtContent>
          <w:r w:rsidRPr="002C7D2D">
            <w:rPr>
              <w:rFonts w:ascii="Times New Roman" w:hAnsi="Times New Roman" w:cs="Times New Roman"/>
              <w:sz w:val="24"/>
              <w:szCs w:val="24"/>
            </w:rPr>
            <w:fldChar w:fldCharType="begin"/>
          </w:r>
          <w:r w:rsidRPr="002C7D2D">
            <w:rPr>
              <w:rFonts w:ascii="Times New Roman" w:hAnsi="Times New Roman" w:cs="Times New Roman"/>
              <w:sz w:val="24"/>
              <w:szCs w:val="24"/>
            </w:rPr>
            <w:instrText xml:space="preserve"> CITATION DuF13 \l 1033 </w:instrText>
          </w:r>
          <w:r w:rsidRPr="002C7D2D">
            <w:rPr>
              <w:rFonts w:ascii="Times New Roman" w:hAnsi="Times New Roman" w:cs="Times New Roman"/>
              <w:sz w:val="24"/>
              <w:szCs w:val="24"/>
            </w:rPr>
            <w:fldChar w:fldCharType="separate"/>
          </w:r>
          <w:r w:rsidRPr="002C7D2D">
            <w:rPr>
              <w:rFonts w:ascii="Times New Roman" w:hAnsi="Times New Roman" w:cs="Times New Roman"/>
              <w:noProof/>
              <w:sz w:val="24"/>
              <w:szCs w:val="24"/>
            </w:rPr>
            <w:t>(DuFour &amp; Mattos, 2013)</w:t>
          </w:r>
          <w:r w:rsidRPr="002C7D2D">
            <w:rPr>
              <w:rFonts w:ascii="Times New Roman" w:hAnsi="Times New Roman" w:cs="Times New Roman"/>
              <w:sz w:val="24"/>
              <w:szCs w:val="24"/>
            </w:rPr>
            <w:fldChar w:fldCharType="end"/>
          </w:r>
        </w:sdtContent>
      </w:sdt>
      <w:r w:rsidRPr="002C7D2D">
        <w:rPr>
          <w:rFonts w:ascii="Times New Roman" w:hAnsi="Times New Roman" w:cs="Times New Roman"/>
          <w:sz w:val="24"/>
          <w:szCs w:val="24"/>
        </w:rPr>
        <w:t xml:space="preserve">. The </w:t>
      </w:r>
      <w:r w:rsidRPr="002C7D2D">
        <w:rPr>
          <w:rFonts w:ascii="Times New Roman" w:hAnsi="Times New Roman" w:cs="Times New Roman"/>
          <w:noProof/>
          <w:sz w:val="24"/>
          <w:szCs w:val="24"/>
        </w:rPr>
        <w:t xml:space="preserve">artcle denounces the reasoning as faulty since its credibility is based </w:t>
      </w:r>
      <w:r w:rsidR="00774F5F" w:rsidRPr="002C7D2D">
        <w:rPr>
          <w:rFonts w:ascii="Times New Roman" w:hAnsi="Times New Roman" w:cs="Times New Roman"/>
          <w:noProof/>
          <w:sz w:val="24"/>
          <w:szCs w:val="24"/>
        </w:rPr>
        <w:t xml:space="preserve">two conditions; teachers have not been motivated to improve students performance but are quite aware on how to, and that principal have time to and their observation and expertise is critical in improving the performance of the teachers. There is also no evidence that the motivation of teachers has led to student improvement and prevous attempts at such reforms backed down after a while without positive results. </w:t>
      </w:r>
    </w:p>
    <w:p w:rsidR="00774F5F" w:rsidRPr="002C7D2D" w:rsidRDefault="00774F5F" w:rsidP="002C7D2D">
      <w:pPr>
        <w:spacing w:line="480" w:lineRule="auto"/>
        <w:ind w:firstLine="720"/>
        <w:rPr>
          <w:rFonts w:ascii="Times New Roman" w:hAnsi="Times New Roman" w:cs="Times New Roman"/>
          <w:noProof/>
          <w:sz w:val="24"/>
          <w:szCs w:val="24"/>
        </w:rPr>
      </w:pPr>
      <w:r w:rsidRPr="002C7D2D">
        <w:rPr>
          <w:rFonts w:ascii="Times New Roman" w:hAnsi="Times New Roman" w:cs="Times New Roman"/>
          <w:noProof/>
          <w:sz w:val="24"/>
          <w:szCs w:val="24"/>
        </w:rPr>
        <w:t xml:space="preserve">Though classroom observations prove beneficial in highlighting critical performance initiatives, the strategy is not effective since principals are not adept at the course content of all their teachers programs. The article proposes a collective effort at focussing on student learning as opposed to the latter. This initiative </w:t>
      </w:r>
      <w:r w:rsidR="00F40250" w:rsidRPr="002C7D2D">
        <w:rPr>
          <w:rFonts w:ascii="Times New Roman" w:hAnsi="Times New Roman" w:cs="Times New Roman"/>
          <w:noProof/>
          <w:sz w:val="24"/>
          <w:szCs w:val="24"/>
        </w:rPr>
        <w:t xml:space="preserve">insist on good teaching in more classrooms through collective effort and a collaborative culture through professional learning community. It is eveident that the performance of students improve when teachers participate in PLC with the focus of responisivity to students. The meeting of teachers and principals in a professional learning community is critical in sharin teaching practices, professional development, promotion of leadership while improving student achievement, and the transparency is crucial in enegagement of critical conversations about improvement pf strategies that enable students to attain higher levels of professional achievement and satisfaction. </w:t>
      </w:r>
    </w:p>
    <w:p w:rsidR="00F40250" w:rsidRPr="002C7D2D" w:rsidRDefault="00F40250" w:rsidP="002C7D2D">
      <w:pPr>
        <w:spacing w:line="480" w:lineRule="auto"/>
        <w:ind w:firstLine="720"/>
        <w:rPr>
          <w:rFonts w:ascii="Times New Roman" w:hAnsi="Times New Roman" w:cs="Times New Roman"/>
          <w:sz w:val="24"/>
          <w:szCs w:val="24"/>
        </w:rPr>
      </w:pPr>
      <w:r w:rsidRPr="002C7D2D">
        <w:rPr>
          <w:rFonts w:ascii="Times New Roman" w:hAnsi="Times New Roman" w:cs="Times New Roman"/>
          <w:sz w:val="24"/>
          <w:szCs w:val="24"/>
        </w:rPr>
        <w:lastRenderedPageBreak/>
        <w:t>DuFour and Reeves</w:t>
      </w:r>
      <w:r w:rsidR="00235A30" w:rsidRPr="002C7D2D">
        <w:rPr>
          <w:rFonts w:ascii="Times New Roman" w:hAnsi="Times New Roman" w:cs="Times New Roman"/>
          <w:sz w:val="24"/>
          <w:szCs w:val="24"/>
        </w:rPr>
        <w:t xml:space="preserve"> highlight that though Professional learning communities are </w:t>
      </w:r>
      <w:r w:rsidR="00724C82" w:rsidRPr="002C7D2D">
        <w:rPr>
          <w:rFonts w:ascii="Times New Roman" w:hAnsi="Times New Roman" w:cs="Times New Roman"/>
          <w:sz w:val="24"/>
          <w:szCs w:val="24"/>
        </w:rPr>
        <w:t>crucial and beneficial to teaching and learning, failure to incorporate it correctly will hinder any progress or gains, and terms this as PLC Lite. The article describes the current state of affairs of PLC as a matter of implementing the term to procedures that are fruitful in the form of actions. PLC necessitates collaborative work rather than isolation, the establishment of a viable curriculum that guarantees results, development of an assessment process as a team, employment of formative assessments to improve teachers and students, and the creation of intervention strategies aimed at allocating additional time and support to students who need. The authors then clarify the four questions as critical divides between PLC and PLC Lite</w:t>
      </w:r>
      <w:r w:rsidR="008329E8" w:rsidRPr="002C7D2D">
        <w:rPr>
          <w:rFonts w:ascii="Times New Roman" w:hAnsi="Times New Roman" w:cs="Times New Roman"/>
          <w:sz w:val="24"/>
          <w:szCs w:val="24"/>
        </w:rPr>
        <w:t xml:space="preserve"> </w:t>
      </w:r>
      <w:sdt>
        <w:sdtPr>
          <w:rPr>
            <w:rFonts w:ascii="Times New Roman" w:hAnsi="Times New Roman" w:cs="Times New Roman"/>
            <w:sz w:val="24"/>
            <w:szCs w:val="24"/>
          </w:rPr>
          <w:id w:val="165756160"/>
          <w:citation/>
        </w:sdtPr>
        <w:sdtContent>
          <w:r w:rsidR="008329E8" w:rsidRPr="002C7D2D">
            <w:rPr>
              <w:rFonts w:ascii="Times New Roman" w:hAnsi="Times New Roman" w:cs="Times New Roman"/>
              <w:sz w:val="24"/>
              <w:szCs w:val="24"/>
            </w:rPr>
            <w:fldChar w:fldCharType="begin"/>
          </w:r>
          <w:r w:rsidR="008329E8" w:rsidRPr="002C7D2D">
            <w:rPr>
              <w:rFonts w:ascii="Times New Roman" w:hAnsi="Times New Roman" w:cs="Times New Roman"/>
              <w:sz w:val="24"/>
              <w:szCs w:val="24"/>
            </w:rPr>
            <w:instrText xml:space="preserve"> CITATION Duf16 \l 1033 </w:instrText>
          </w:r>
          <w:r w:rsidR="008329E8" w:rsidRPr="002C7D2D">
            <w:rPr>
              <w:rFonts w:ascii="Times New Roman" w:hAnsi="Times New Roman" w:cs="Times New Roman"/>
              <w:sz w:val="24"/>
              <w:szCs w:val="24"/>
            </w:rPr>
            <w:fldChar w:fldCharType="separate"/>
          </w:r>
          <w:r w:rsidR="008329E8" w:rsidRPr="002C7D2D">
            <w:rPr>
              <w:rFonts w:ascii="Times New Roman" w:hAnsi="Times New Roman" w:cs="Times New Roman"/>
              <w:noProof/>
              <w:sz w:val="24"/>
              <w:szCs w:val="24"/>
            </w:rPr>
            <w:t>(Dufour &amp; Reeves, 2016)</w:t>
          </w:r>
          <w:r w:rsidR="008329E8" w:rsidRPr="002C7D2D">
            <w:rPr>
              <w:rFonts w:ascii="Times New Roman" w:hAnsi="Times New Roman" w:cs="Times New Roman"/>
              <w:sz w:val="24"/>
              <w:szCs w:val="24"/>
            </w:rPr>
            <w:fldChar w:fldCharType="end"/>
          </w:r>
        </w:sdtContent>
      </w:sdt>
      <w:r w:rsidR="00724C82" w:rsidRPr="002C7D2D">
        <w:rPr>
          <w:rFonts w:ascii="Times New Roman" w:hAnsi="Times New Roman" w:cs="Times New Roman"/>
          <w:sz w:val="24"/>
          <w:szCs w:val="24"/>
        </w:rPr>
        <w:t xml:space="preserve">. </w:t>
      </w:r>
      <w:r w:rsidR="008329E8" w:rsidRPr="002C7D2D">
        <w:rPr>
          <w:rFonts w:ascii="Times New Roman" w:hAnsi="Times New Roman" w:cs="Times New Roman"/>
          <w:sz w:val="24"/>
          <w:szCs w:val="24"/>
        </w:rPr>
        <w:t xml:space="preserve">The article highlights the significance of formative assessments in minute by minute and self-evaluation of the comprehension and learning capabilities of the students, and insists on their impact in identification of students not attaining proficiency, creation of other avenues to demonstrate what students have learnt, and use of evidence based practice for the improvement of collective and individual practice. </w:t>
      </w:r>
    </w:p>
    <w:p w:rsidR="008F42B1" w:rsidRPr="002C7D2D" w:rsidRDefault="008329E8" w:rsidP="002C7D2D">
      <w:pPr>
        <w:spacing w:line="480" w:lineRule="auto"/>
        <w:ind w:firstLine="720"/>
        <w:rPr>
          <w:rFonts w:ascii="Times New Roman" w:hAnsi="Times New Roman" w:cs="Times New Roman"/>
          <w:sz w:val="24"/>
          <w:szCs w:val="24"/>
        </w:rPr>
      </w:pPr>
      <w:r w:rsidRPr="002C7D2D">
        <w:rPr>
          <w:rFonts w:ascii="Times New Roman" w:hAnsi="Times New Roman" w:cs="Times New Roman"/>
          <w:sz w:val="24"/>
          <w:szCs w:val="24"/>
        </w:rPr>
        <w:t xml:space="preserve">PLC Lite describes lack of evidence based practices thus collaborative effort is wasted. The results is a framework of teaching, testing and hoping for the best, with business moving on as usual. However, the collaborative efforts should be geared towards </w:t>
      </w:r>
      <w:r w:rsidR="008F42B1" w:rsidRPr="002C7D2D">
        <w:rPr>
          <w:rFonts w:ascii="Times New Roman" w:hAnsi="Times New Roman" w:cs="Times New Roman"/>
          <w:sz w:val="24"/>
          <w:szCs w:val="24"/>
        </w:rPr>
        <w:t xml:space="preserve">instructional evidence-based practices and reflective teaching on a collective scale. The article disgraces the use of war rooms to assess, evaluate, humiliate and praise teachers based on the scores of state tests from previous years. There is a relevant need by the PLC for students to learn and comprehend the essential component, but disapproves of repetition and retention as modes of intervention. The article suggest intervention methods that employ immediate, focused, intensive, and systematic </w:t>
      </w:r>
      <w:r w:rsidR="008F42B1" w:rsidRPr="002C7D2D">
        <w:rPr>
          <w:rFonts w:ascii="Times New Roman" w:hAnsi="Times New Roman" w:cs="Times New Roman"/>
          <w:sz w:val="24"/>
          <w:szCs w:val="24"/>
        </w:rPr>
        <w:lastRenderedPageBreak/>
        <w:t xml:space="preserve">instructions raised within the group or by an individual. It is therefore essential to understand policies of PLC prior to branding initiatives as such. </w:t>
      </w:r>
    </w:p>
    <w:p w:rsidR="008F42B1" w:rsidRPr="002C7D2D" w:rsidRDefault="00350F86" w:rsidP="002C7D2D">
      <w:pPr>
        <w:spacing w:line="480" w:lineRule="auto"/>
        <w:ind w:firstLine="720"/>
        <w:rPr>
          <w:rFonts w:ascii="Times New Roman" w:hAnsi="Times New Roman" w:cs="Times New Roman"/>
          <w:sz w:val="24"/>
          <w:szCs w:val="24"/>
        </w:rPr>
      </w:pPr>
      <w:r w:rsidRPr="002C7D2D">
        <w:rPr>
          <w:rFonts w:ascii="Times New Roman" w:hAnsi="Times New Roman" w:cs="Times New Roman"/>
          <w:sz w:val="24"/>
          <w:szCs w:val="24"/>
        </w:rPr>
        <w:t xml:space="preserve">My experience with professional learning community is highly dependent on collaboration aimed at school improvement. The collaborative efforts have seen grade teachers seeking advice from teachers of higher grades on what is critical for the students to master to formulate an in-house curriculum. The students are evaluated on the mastery of this essential components, and the teachers are in constant discussions of the most valid and authentic means to perform these evaluations. Proficiency standards are set by the entire group, and the criteria decided upon for evaluation and assessment is practiced constantly till it is consistent. The team decides on when to administer the assessments, from which they determine the strengths and weaknesses of the learning initiatives and formulate strategies that address the weaknesses while also building on the strengths. New insight is essential in the entire team setup, and their collaborative efforts necessitate the use of transparency in terms of results, questions, concerns, pace, resources, strategies and goals. </w:t>
      </w:r>
    </w:p>
    <w:p w:rsidR="002C7D2D" w:rsidRDefault="002C18A5" w:rsidP="002C7D2D">
      <w:pPr>
        <w:spacing w:line="480" w:lineRule="auto"/>
        <w:ind w:firstLine="720"/>
        <w:rPr>
          <w:rFonts w:ascii="Times New Roman" w:hAnsi="Times New Roman" w:cs="Times New Roman"/>
          <w:sz w:val="24"/>
          <w:szCs w:val="24"/>
        </w:rPr>
      </w:pPr>
      <w:r w:rsidRPr="002C7D2D">
        <w:rPr>
          <w:rFonts w:ascii="Times New Roman" w:hAnsi="Times New Roman" w:cs="Times New Roman"/>
          <w:sz w:val="24"/>
          <w:szCs w:val="24"/>
        </w:rPr>
        <w:t xml:space="preserve">However, though the strategy was implemented to span the entire institution, some teachers did not approve of collective efforts an equated the term with a intention of group camaraderie and congeniality. There are also teachers who were active participants in collective experience, but left everything at the classroom door and did not implement the discussed strategies within the classroom set-up. Isolation efforts affected the professional learning experience since some facets of the schools are critical in the framework and operation. Lack of collaboration from these facets hindered the realization of a true professional learning community. If I were the principal, I would place emphasis on collaboration and insist on collaborative efforts despite the excuses by faculties and come up with strategies that necessitate </w:t>
      </w:r>
      <w:r w:rsidRPr="002C7D2D">
        <w:rPr>
          <w:rFonts w:ascii="Times New Roman" w:hAnsi="Times New Roman" w:cs="Times New Roman"/>
          <w:sz w:val="24"/>
          <w:szCs w:val="24"/>
        </w:rPr>
        <w:lastRenderedPageBreak/>
        <w:t>endorsement of the technique. I would also focus on results on a collective scale and enquire feedback from students and parents on the benefit of the approach. Evidence-bas</w:t>
      </w:r>
      <w:r w:rsidR="00366205" w:rsidRPr="002C7D2D">
        <w:rPr>
          <w:rFonts w:ascii="Times New Roman" w:hAnsi="Times New Roman" w:cs="Times New Roman"/>
          <w:sz w:val="24"/>
          <w:szCs w:val="24"/>
        </w:rPr>
        <w:t>e</w:t>
      </w:r>
      <w:r w:rsidRPr="002C7D2D">
        <w:rPr>
          <w:rFonts w:ascii="Times New Roman" w:hAnsi="Times New Roman" w:cs="Times New Roman"/>
          <w:sz w:val="24"/>
          <w:szCs w:val="24"/>
        </w:rPr>
        <w:t xml:space="preserve">d criteria will be crucial to be adopted by the faculties and </w:t>
      </w:r>
      <w:r w:rsidR="00366205" w:rsidRPr="002C7D2D">
        <w:rPr>
          <w:rFonts w:ascii="Times New Roman" w:hAnsi="Times New Roman" w:cs="Times New Roman"/>
          <w:sz w:val="24"/>
          <w:szCs w:val="24"/>
        </w:rPr>
        <w:t xml:space="preserve">formulate strategies that gather and accumulate data, relevant as credible and crucial information for the staff. The feedback from the students and the results would be an essential evaluator for the assessment of the learning of the students. </w:t>
      </w:r>
    </w:p>
    <w:p w:rsidR="002C7D2D" w:rsidRDefault="002C7D2D">
      <w:pPr>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hAnsi="Times New Roman" w:cs="Times New Roman"/>
          <w:color w:val="auto"/>
          <w:sz w:val="24"/>
        </w:rPr>
        <w:id w:val="165756228"/>
        <w:docPartObj>
          <w:docPartGallery w:val="Bibliographies"/>
          <w:docPartUnique/>
        </w:docPartObj>
      </w:sdtPr>
      <w:sdtEndPr>
        <w:rPr>
          <w:rFonts w:eastAsiaTheme="minorEastAsia"/>
          <w:b w:val="0"/>
          <w:bCs w:val="0"/>
          <w:szCs w:val="22"/>
          <w:lang w:bidi="ar-SA"/>
        </w:rPr>
      </w:sdtEndPr>
      <w:sdtContent>
        <w:p w:rsidR="002C7D2D" w:rsidRPr="002C7D2D" w:rsidRDefault="002C7D2D" w:rsidP="002C7D2D">
          <w:pPr>
            <w:pStyle w:val="Heading1"/>
            <w:jc w:val="center"/>
            <w:rPr>
              <w:rFonts w:ascii="Times New Roman" w:hAnsi="Times New Roman" w:cs="Times New Roman"/>
              <w:color w:val="auto"/>
              <w:sz w:val="24"/>
            </w:rPr>
          </w:pPr>
          <w:r w:rsidRPr="002C7D2D">
            <w:rPr>
              <w:rFonts w:ascii="Times New Roman" w:hAnsi="Times New Roman" w:cs="Times New Roman"/>
              <w:color w:val="auto"/>
              <w:sz w:val="24"/>
            </w:rPr>
            <w:t>References</w:t>
          </w:r>
        </w:p>
        <w:sdt>
          <w:sdtPr>
            <w:id w:val="111145805"/>
            <w:bibliography/>
          </w:sdtPr>
          <w:sdtEndPr>
            <w:rPr>
              <w:rFonts w:ascii="Times New Roman" w:hAnsi="Times New Roman" w:cs="Times New Roman"/>
              <w:sz w:val="24"/>
            </w:rPr>
          </w:sdtEndPr>
          <w:sdtContent>
            <w:p w:rsidR="002C7D2D" w:rsidRPr="002C7D2D" w:rsidRDefault="002C7D2D" w:rsidP="002C7D2D">
              <w:pPr>
                <w:pStyle w:val="Bibliography"/>
                <w:spacing w:line="480" w:lineRule="auto"/>
                <w:ind w:left="720" w:hanging="720"/>
                <w:rPr>
                  <w:rFonts w:ascii="Times New Roman" w:hAnsi="Times New Roman" w:cs="Times New Roman"/>
                  <w:noProof/>
                  <w:sz w:val="24"/>
                </w:rPr>
              </w:pPr>
              <w:r w:rsidRPr="002C7D2D">
                <w:rPr>
                  <w:rFonts w:ascii="Times New Roman" w:hAnsi="Times New Roman" w:cs="Times New Roman"/>
                  <w:sz w:val="24"/>
                </w:rPr>
                <w:fldChar w:fldCharType="begin"/>
              </w:r>
              <w:r w:rsidRPr="002C7D2D">
                <w:rPr>
                  <w:rFonts w:ascii="Times New Roman" w:hAnsi="Times New Roman" w:cs="Times New Roman"/>
                  <w:sz w:val="24"/>
                </w:rPr>
                <w:instrText xml:space="preserve"> BIBLIOGRAPHY </w:instrText>
              </w:r>
              <w:r w:rsidRPr="002C7D2D">
                <w:rPr>
                  <w:rFonts w:ascii="Times New Roman" w:hAnsi="Times New Roman" w:cs="Times New Roman"/>
                  <w:sz w:val="24"/>
                </w:rPr>
                <w:fldChar w:fldCharType="separate"/>
              </w:r>
              <w:r w:rsidRPr="002C7D2D">
                <w:rPr>
                  <w:rFonts w:ascii="Times New Roman" w:hAnsi="Times New Roman" w:cs="Times New Roman"/>
                  <w:noProof/>
                  <w:sz w:val="24"/>
                </w:rPr>
                <w:t xml:space="preserve">DuFour, R., &amp; Mattos, M. (2013). How Do Principals Really improve Schools? </w:t>
              </w:r>
              <w:r w:rsidRPr="002C7D2D">
                <w:rPr>
                  <w:rFonts w:ascii="Times New Roman" w:hAnsi="Times New Roman" w:cs="Times New Roman"/>
                  <w:i/>
                  <w:iCs/>
                  <w:noProof/>
                  <w:sz w:val="24"/>
                </w:rPr>
                <w:t>Educational Leadership</w:t>
              </w:r>
              <w:r w:rsidRPr="002C7D2D">
                <w:rPr>
                  <w:rFonts w:ascii="Times New Roman" w:hAnsi="Times New Roman" w:cs="Times New Roman"/>
                  <w:noProof/>
                  <w:sz w:val="24"/>
                </w:rPr>
                <w:t xml:space="preserve"> </w:t>
              </w:r>
              <w:r w:rsidRPr="002C7D2D">
                <w:rPr>
                  <w:rFonts w:ascii="Times New Roman" w:hAnsi="Times New Roman" w:cs="Times New Roman"/>
                  <w:i/>
                  <w:iCs/>
                  <w:noProof/>
                  <w:sz w:val="24"/>
                </w:rPr>
                <w:t>, 70</w:t>
              </w:r>
              <w:r w:rsidRPr="002C7D2D">
                <w:rPr>
                  <w:rFonts w:ascii="Times New Roman" w:hAnsi="Times New Roman" w:cs="Times New Roman"/>
                  <w:noProof/>
                  <w:sz w:val="24"/>
                </w:rPr>
                <w:t xml:space="preserve"> (7), 34-40.</w:t>
              </w:r>
            </w:p>
            <w:p w:rsidR="002C7D2D" w:rsidRPr="002C7D2D" w:rsidRDefault="002C7D2D" w:rsidP="002C7D2D">
              <w:pPr>
                <w:pStyle w:val="Bibliography"/>
                <w:spacing w:line="480" w:lineRule="auto"/>
                <w:ind w:left="720" w:hanging="720"/>
                <w:rPr>
                  <w:rFonts w:ascii="Times New Roman" w:hAnsi="Times New Roman" w:cs="Times New Roman"/>
                  <w:noProof/>
                  <w:sz w:val="24"/>
                </w:rPr>
              </w:pPr>
              <w:r w:rsidRPr="002C7D2D">
                <w:rPr>
                  <w:rFonts w:ascii="Times New Roman" w:hAnsi="Times New Roman" w:cs="Times New Roman"/>
                  <w:noProof/>
                  <w:sz w:val="24"/>
                </w:rPr>
                <w:t xml:space="preserve">Dufour, R., &amp; Reeves, D. (2016). The Futility of PLC Lite. </w:t>
              </w:r>
              <w:r w:rsidRPr="002C7D2D">
                <w:rPr>
                  <w:rFonts w:ascii="Times New Roman" w:hAnsi="Times New Roman" w:cs="Times New Roman"/>
                  <w:i/>
                  <w:iCs/>
                  <w:noProof/>
                  <w:sz w:val="24"/>
                </w:rPr>
                <w:t>Phi Delta Kappan</w:t>
              </w:r>
              <w:r w:rsidRPr="002C7D2D">
                <w:rPr>
                  <w:rFonts w:ascii="Times New Roman" w:hAnsi="Times New Roman" w:cs="Times New Roman"/>
                  <w:noProof/>
                  <w:sz w:val="24"/>
                </w:rPr>
                <w:t xml:space="preserve"> </w:t>
              </w:r>
              <w:r w:rsidRPr="002C7D2D">
                <w:rPr>
                  <w:rFonts w:ascii="Times New Roman" w:hAnsi="Times New Roman" w:cs="Times New Roman"/>
                  <w:i/>
                  <w:iCs/>
                  <w:noProof/>
                  <w:sz w:val="24"/>
                </w:rPr>
                <w:t>, 97</w:t>
              </w:r>
              <w:r w:rsidRPr="002C7D2D">
                <w:rPr>
                  <w:rFonts w:ascii="Times New Roman" w:hAnsi="Times New Roman" w:cs="Times New Roman"/>
                  <w:noProof/>
                  <w:sz w:val="24"/>
                </w:rPr>
                <w:t xml:space="preserve"> (6), 69-71.</w:t>
              </w:r>
            </w:p>
            <w:p w:rsidR="002C7D2D" w:rsidRPr="002C7D2D" w:rsidRDefault="002C7D2D" w:rsidP="002C7D2D">
              <w:pPr>
                <w:spacing w:line="480" w:lineRule="auto"/>
                <w:ind w:left="720" w:hanging="720"/>
                <w:rPr>
                  <w:rFonts w:ascii="Times New Roman" w:hAnsi="Times New Roman" w:cs="Times New Roman"/>
                  <w:sz w:val="24"/>
                </w:rPr>
              </w:pPr>
              <w:r w:rsidRPr="002C7D2D">
                <w:rPr>
                  <w:rFonts w:ascii="Times New Roman" w:hAnsi="Times New Roman" w:cs="Times New Roman"/>
                  <w:sz w:val="24"/>
                </w:rPr>
                <w:fldChar w:fldCharType="end"/>
              </w:r>
            </w:p>
          </w:sdtContent>
        </w:sdt>
      </w:sdtContent>
    </w:sdt>
    <w:p w:rsidR="002C18A5" w:rsidRPr="002C7D2D" w:rsidRDefault="002C18A5" w:rsidP="002C7D2D">
      <w:pPr>
        <w:spacing w:line="480" w:lineRule="auto"/>
        <w:ind w:firstLine="720"/>
        <w:rPr>
          <w:rFonts w:ascii="Times New Roman" w:hAnsi="Times New Roman" w:cs="Times New Roman"/>
          <w:sz w:val="24"/>
          <w:szCs w:val="24"/>
        </w:rPr>
      </w:pPr>
    </w:p>
    <w:sectPr w:rsidR="002C18A5" w:rsidRPr="002C7D2D" w:rsidSect="002C7D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73FE" w:rsidRDefault="00E373FE" w:rsidP="002C7D2D">
      <w:pPr>
        <w:spacing w:after="0" w:line="240" w:lineRule="auto"/>
      </w:pPr>
      <w:r>
        <w:separator/>
      </w:r>
    </w:p>
  </w:endnote>
  <w:endnote w:type="continuationSeparator" w:id="1">
    <w:p w:rsidR="00E373FE" w:rsidRDefault="00E373FE" w:rsidP="002C7D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73FE" w:rsidRDefault="00E373FE" w:rsidP="002C7D2D">
      <w:pPr>
        <w:spacing w:after="0" w:line="240" w:lineRule="auto"/>
      </w:pPr>
      <w:r>
        <w:separator/>
      </w:r>
    </w:p>
  </w:footnote>
  <w:footnote w:type="continuationSeparator" w:id="1">
    <w:p w:rsidR="00E373FE" w:rsidRDefault="00E373FE" w:rsidP="002C7D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D2D" w:rsidRPr="002C7D2D" w:rsidRDefault="002C7D2D">
    <w:pPr>
      <w:pStyle w:val="Header"/>
      <w:jc w:val="right"/>
      <w:rPr>
        <w:rFonts w:ascii="Times New Roman" w:hAnsi="Times New Roman" w:cs="Times New Roman"/>
        <w:sz w:val="24"/>
      </w:rPr>
    </w:pPr>
    <w:r w:rsidRPr="002C7D2D">
      <w:rPr>
        <w:rFonts w:ascii="Times New Roman" w:hAnsi="Times New Roman" w:cs="Times New Roman"/>
        <w:sz w:val="24"/>
      </w:rPr>
      <w:t>PROFESSIONAL LEARNING COMMUNITIES</w:t>
    </w:r>
    <w:r w:rsidRPr="002C7D2D">
      <w:rPr>
        <w:rFonts w:ascii="Times New Roman" w:hAnsi="Times New Roman" w:cs="Times New Roman"/>
        <w:sz w:val="24"/>
      </w:rPr>
      <w:tab/>
    </w:r>
    <w:r w:rsidRPr="002C7D2D">
      <w:rPr>
        <w:rFonts w:ascii="Times New Roman" w:hAnsi="Times New Roman" w:cs="Times New Roman"/>
        <w:sz w:val="24"/>
      </w:rPr>
      <w:tab/>
    </w:r>
    <w:sdt>
      <w:sdtPr>
        <w:rPr>
          <w:rFonts w:ascii="Times New Roman" w:hAnsi="Times New Roman" w:cs="Times New Roman"/>
          <w:sz w:val="24"/>
        </w:rPr>
        <w:id w:val="165756161"/>
        <w:docPartObj>
          <w:docPartGallery w:val="Page Numbers (Top of Page)"/>
          <w:docPartUnique/>
        </w:docPartObj>
      </w:sdtPr>
      <w:sdtContent>
        <w:r w:rsidRPr="002C7D2D">
          <w:rPr>
            <w:rFonts w:ascii="Times New Roman" w:hAnsi="Times New Roman" w:cs="Times New Roman"/>
            <w:sz w:val="24"/>
          </w:rPr>
          <w:fldChar w:fldCharType="begin"/>
        </w:r>
        <w:r w:rsidRPr="002C7D2D">
          <w:rPr>
            <w:rFonts w:ascii="Times New Roman" w:hAnsi="Times New Roman" w:cs="Times New Roman"/>
            <w:sz w:val="24"/>
          </w:rPr>
          <w:instrText xml:space="preserve"> PAGE   \* MERGEFORMAT </w:instrText>
        </w:r>
        <w:r w:rsidRPr="002C7D2D">
          <w:rPr>
            <w:rFonts w:ascii="Times New Roman" w:hAnsi="Times New Roman" w:cs="Times New Roman"/>
            <w:sz w:val="24"/>
          </w:rPr>
          <w:fldChar w:fldCharType="separate"/>
        </w:r>
        <w:r>
          <w:rPr>
            <w:rFonts w:ascii="Times New Roman" w:hAnsi="Times New Roman" w:cs="Times New Roman"/>
            <w:noProof/>
            <w:sz w:val="24"/>
          </w:rPr>
          <w:t>6</w:t>
        </w:r>
        <w:r w:rsidRPr="002C7D2D">
          <w:rPr>
            <w:rFonts w:ascii="Times New Roman" w:hAnsi="Times New Roman" w:cs="Times New Roman"/>
            <w:sz w:val="24"/>
          </w:rPr>
          <w:fldChar w:fldCharType="end"/>
        </w:r>
      </w:sdtContent>
    </w:sdt>
  </w:p>
  <w:p w:rsidR="002C7D2D" w:rsidRPr="002C7D2D" w:rsidRDefault="002C7D2D">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D2D" w:rsidRPr="002C7D2D" w:rsidRDefault="002C7D2D">
    <w:pPr>
      <w:pStyle w:val="Header"/>
      <w:jc w:val="right"/>
      <w:rPr>
        <w:rFonts w:ascii="Times New Roman" w:hAnsi="Times New Roman" w:cs="Times New Roman"/>
        <w:sz w:val="24"/>
      </w:rPr>
    </w:pPr>
    <w:r w:rsidRPr="002C7D2D">
      <w:rPr>
        <w:rFonts w:ascii="Times New Roman" w:hAnsi="Times New Roman" w:cs="Times New Roman"/>
        <w:sz w:val="24"/>
      </w:rPr>
      <w:t xml:space="preserve">Running Head: PROFESSIONAL LEARNING COMMUNITIES </w:t>
    </w:r>
    <w:r w:rsidRPr="002C7D2D">
      <w:rPr>
        <w:rFonts w:ascii="Times New Roman" w:hAnsi="Times New Roman" w:cs="Times New Roman"/>
        <w:sz w:val="24"/>
      </w:rPr>
      <w:tab/>
    </w:r>
    <w:sdt>
      <w:sdtPr>
        <w:rPr>
          <w:rFonts w:ascii="Times New Roman" w:hAnsi="Times New Roman" w:cs="Times New Roman"/>
          <w:sz w:val="24"/>
        </w:rPr>
        <w:id w:val="165756201"/>
        <w:docPartObj>
          <w:docPartGallery w:val="Page Numbers (Top of Page)"/>
          <w:docPartUnique/>
        </w:docPartObj>
      </w:sdtPr>
      <w:sdtContent>
        <w:r w:rsidRPr="002C7D2D">
          <w:rPr>
            <w:rFonts w:ascii="Times New Roman" w:hAnsi="Times New Roman" w:cs="Times New Roman"/>
            <w:sz w:val="24"/>
          </w:rPr>
          <w:fldChar w:fldCharType="begin"/>
        </w:r>
        <w:r w:rsidRPr="002C7D2D">
          <w:rPr>
            <w:rFonts w:ascii="Times New Roman" w:hAnsi="Times New Roman" w:cs="Times New Roman"/>
            <w:sz w:val="24"/>
          </w:rPr>
          <w:instrText xml:space="preserve"> PAGE   \* MERGEFORMAT </w:instrText>
        </w:r>
        <w:r w:rsidRPr="002C7D2D">
          <w:rPr>
            <w:rFonts w:ascii="Times New Roman" w:hAnsi="Times New Roman" w:cs="Times New Roman"/>
            <w:sz w:val="24"/>
          </w:rPr>
          <w:fldChar w:fldCharType="separate"/>
        </w:r>
        <w:r>
          <w:rPr>
            <w:rFonts w:ascii="Times New Roman" w:hAnsi="Times New Roman" w:cs="Times New Roman"/>
            <w:noProof/>
            <w:sz w:val="24"/>
          </w:rPr>
          <w:t>1</w:t>
        </w:r>
        <w:r w:rsidRPr="002C7D2D">
          <w:rPr>
            <w:rFonts w:ascii="Times New Roman" w:hAnsi="Times New Roman" w:cs="Times New Roman"/>
            <w:sz w:val="24"/>
          </w:rPr>
          <w:fldChar w:fldCharType="end"/>
        </w:r>
      </w:sdtContent>
    </w:sdt>
  </w:p>
  <w:p w:rsidR="002C7D2D" w:rsidRPr="002C7D2D" w:rsidRDefault="002C7D2D">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625AAC"/>
    <w:rsid w:val="00235A30"/>
    <w:rsid w:val="002C18A5"/>
    <w:rsid w:val="002C7D2D"/>
    <w:rsid w:val="00350F86"/>
    <w:rsid w:val="00366205"/>
    <w:rsid w:val="00625AAC"/>
    <w:rsid w:val="00724C82"/>
    <w:rsid w:val="00774F5F"/>
    <w:rsid w:val="008329E8"/>
    <w:rsid w:val="008F42B1"/>
    <w:rsid w:val="00E373FE"/>
    <w:rsid w:val="00F402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C7D2D"/>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5A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5AAC"/>
    <w:rPr>
      <w:rFonts w:ascii="Tahoma" w:hAnsi="Tahoma" w:cs="Tahoma"/>
      <w:sz w:val="16"/>
      <w:szCs w:val="16"/>
    </w:rPr>
  </w:style>
  <w:style w:type="paragraph" w:styleId="Header">
    <w:name w:val="header"/>
    <w:basedOn w:val="Normal"/>
    <w:link w:val="HeaderChar"/>
    <w:uiPriority w:val="99"/>
    <w:unhideWhenUsed/>
    <w:rsid w:val="002C7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D2D"/>
  </w:style>
  <w:style w:type="paragraph" w:styleId="Footer">
    <w:name w:val="footer"/>
    <w:basedOn w:val="Normal"/>
    <w:link w:val="FooterChar"/>
    <w:uiPriority w:val="99"/>
    <w:semiHidden/>
    <w:unhideWhenUsed/>
    <w:rsid w:val="002C7D2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C7D2D"/>
  </w:style>
  <w:style w:type="character" w:customStyle="1" w:styleId="Heading1Char">
    <w:name w:val="Heading 1 Char"/>
    <w:basedOn w:val="DefaultParagraphFont"/>
    <w:link w:val="Heading1"/>
    <w:uiPriority w:val="9"/>
    <w:rsid w:val="002C7D2D"/>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2C7D2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DuF13</b:Tag>
    <b:SourceType>JournalArticle</b:SourceType>
    <b:Guid>{2B5EDB4C-AE43-4F2D-ACFD-1BE1859EEB11}</b:Guid>
    <b:LCID>0</b:LCID>
    <b:Author>
      <b:Author>
        <b:NameList>
          <b:Person>
            <b:Last>DuFour</b:Last>
            <b:First>Rick</b:First>
          </b:Person>
          <b:Person>
            <b:Last>Mattos</b:Last>
            <b:First>Mike</b:First>
          </b:Person>
        </b:NameList>
      </b:Author>
    </b:Author>
    <b:Title>How Do Principals Really improve Schools?</b:Title>
    <b:JournalName>Educational Leadership</b:JournalName>
    <b:Year>2013</b:Year>
    <b:Pages>34-40</b:Pages>
    <b:Month>April</b:Month>
    <b:Volume>70</b:Volume>
    <b:Issue>7</b:Issue>
    <b:RefOrder>1</b:RefOrder>
  </b:Source>
  <b:Source>
    <b:Tag>Duf16</b:Tag>
    <b:SourceType>JournalArticle</b:SourceType>
    <b:Guid>{56AFFF15-39A8-4D04-87CB-BA15C4890682}</b:Guid>
    <b:LCID>0</b:LCID>
    <b:Author>
      <b:Author>
        <b:NameList>
          <b:Person>
            <b:Last>Dufour</b:Last>
            <b:First>Rick</b:First>
          </b:Person>
          <b:Person>
            <b:Last>Reeves</b:Last>
            <b:First>Douglas</b:First>
          </b:Person>
        </b:NameList>
      </b:Author>
    </b:Author>
    <b:Title>The Futility of PLC Lite</b:Title>
    <b:JournalName>Phi Delta Kappan</b:JournalName>
    <b:Year>2016</b:Year>
    <b:Pages>69-71</b:Pages>
    <b:Month>February</b:Month>
    <b:Day>23</b:Day>
    <b:Volume>97</b:Volume>
    <b:Issue>6</b:Issue>
    <b:RefOrder>2</b:RefOrder>
  </b:Source>
</b:Sources>
</file>

<file path=customXml/itemProps1.xml><?xml version="1.0" encoding="utf-8"?>
<ds:datastoreItem xmlns:ds="http://schemas.openxmlformats.org/officeDocument/2006/customXml" ds:itemID="{2D417A87-8DB5-4CB9-A4D1-82C757C59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6</Pages>
  <Words>1053</Words>
  <Characters>6007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2019-06-10T07:26:00Z</dcterms:created>
  <dcterms:modified xsi:type="dcterms:W3CDTF">2019-06-10T09:31:00Z</dcterms:modified>
</cp:coreProperties>
</file>